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2F47" w14:textId="686BA250" w:rsidR="004E7D18" w:rsidRPr="00595B41" w:rsidRDefault="004E7D18" w:rsidP="00785C39">
      <w:pPr>
        <w:pStyle w:val="NormalWeb"/>
        <w:rPr>
          <w:rFonts w:asciiTheme="minorHAnsi" w:hAnsiTheme="minorHAnsi"/>
          <w:sz w:val="24"/>
          <w:szCs w:val="24"/>
          <w:lang w:val="it-IT"/>
        </w:rPr>
      </w:pPr>
      <w:r w:rsidRPr="00595B41">
        <w:rPr>
          <w:rFonts w:asciiTheme="minorHAnsi" w:hAnsiTheme="minorHAnsi"/>
          <w:sz w:val="24"/>
          <w:szCs w:val="24"/>
          <w:lang w:val="it-IT"/>
        </w:rPr>
        <w:t>Massimiliano Vignolo</w:t>
      </w:r>
    </w:p>
    <w:p w14:paraId="462F9227" w14:textId="7550C2EE" w:rsidR="00785C39" w:rsidRPr="00595B41" w:rsidRDefault="000A2732" w:rsidP="00785C39">
      <w:pPr>
        <w:pStyle w:val="NormalWeb"/>
        <w:rPr>
          <w:rFonts w:asciiTheme="minorHAnsi" w:hAnsiTheme="minorHAnsi"/>
          <w:sz w:val="24"/>
          <w:szCs w:val="24"/>
          <w:lang w:val="it-IT"/>
        </w:rPr>
      </w:pPr>
      <w:r w:rsidRPr="00595B41">
        <w:rPr>
          <w:rFonts w:asciiTheme="minorHAnsi" w:hAnsiTheme="minorHAnsi"/>
          <w:sz w:val="24"/>
          <w:szCs w:val="24"/>
          <w:lang w:val="it-IT"/>
        </w:rPr>
        <w:t>P</w:t>
      </w:r>
      <w:r w:rsidR="00785C39" w:rsidRPr="00595B41">
        <w:rPr>
          <w:rFonts w:asciiTheme="minorHAnsi" w:hAnsiTheme="minorHAnsi"/>
          <w:sz w:val="24"/>
          <w:szCs w:val="24"/>
          <w:lang w:val="it-IT"/>
        </w:rPr>
        <w:t>ublications</w:t>
      </w:r>
    </w:p>
    <w:p w14:paraId="2A06C4ED" w14:textId="77777777" w:rsidR="00785C39" w:rsidRPr="00595B41" w:rsidRDefault="00785C39" w:rsidP="00785C39">
      <w:pPr>
        <w:pStyle w:val="NormalWeb"/>
        <w:rPr>
          <w:rFonts w:asciiTheme="minorHAnsi" w:hAnsiTheme="minorHAnsi"/>
          <w:sz w:val="24"/>
          <w:szCs w:val="24"/>
          <w:lang w:val="it-IT"/>
        </w:rPr>
      </w:pPr>
      <w:r w:rsidRPr="00595B41">
        <w:rPr>
          <w:rFonts w:asciiTheme="minorHAnsi" w:hAnsiTheme="minorHAnsi"/>
          <w:sz w:val="24"/>
          <w:szCs w:val="24"/>
          <w:lang w:val="it-IT"/>
        </w:rPr>
        <w:t>Authored books:</w:t>
      </w:r>
      <w:r w:rsidRPr="00595B41">
        <w:rPr>
          <w:rFonts w:asciiTheme="minorHAnsi" w:hAnsiTheme="minorHAnsi"/>
          <w:sz w:val="24"/>
          <w:szCs w:val="24"/>
          <w:lang w:val="it-IT"/>
        </w:rPr>
        <w:br/>
        <w:t>- Afferrare Pensieri, Carocci, Roma, 2001</w:t>
      </w:r>
      <w:r w:rsidRPr="00595B41">
        <w:rPr>
          <w:rFonts w:asciiTheme="minorHAnsi" w:hAnsiTheme="minorHAnsi"/>
          <w:sz w:val="24"/>
          <w:szCs w:val="24"/>
          <w:lang w:val="it-IT"/>
        </w:rPr>
        <w:br/>
        <w:t>- Use against Scepticism, Cambridge Scholars Publishing, Newcastle, 2009</w:t>
      </w:r>
      <w:r w:rsidRPr="00595B41">
        <w:rPr>
          <w:rFonts w:asciiTheme="minorHAnsi" w:hAnsiTheme="minorHAnsi"/>
          <w:sz w:val="24"/>
          <w:szCs w:val="24"/>
          <w:lang w:val="it-IT"/>
        </w:rPr>
        <w:br/>
        <w:t>- with M. Frixione, and S. Iaquinto, Introduzione alle Logiche Modali, Laterza, Roma, 2016</w:t>
      </w:r>
      <w:r w:rsidRPr="00595B41">
        <w:rPr>
          <w:rFonts w:asciiTheme="minorHAnsi" w:hAnsiTheme="minorHAnsi"/>
          <w:sz w:val="24"/>
          <w:szCs w:val="24"/>
          <w:lang w:val="it-IT"/>
        </w:rPr>
        <w:br/>
        <w:t>- with M. Frixione, Filosofia del Linguaggio, Mondadori, Firenze, 2018</w:t>
      </w:r>
    </w:p>
    <w:p w14:paraId="60BD8679" w14:textId="77777777" w:rsidR="00785C39" w:rsidRPr="00595B41" w:rsidRDefault="00785C39" w:rsidP="00785C39">
      <w:pPr>
        <w:pStyle w:val="NormalWeb"/>
        <w:rPr>
          <w:rFonts w:asciiTheme="minorHAnsi" w:hAnsiTheme="minorHAnsi"/>
          <w:sz w:val="24"/>
          <w:szCs w:val="24"/>
        </w:rPr>
      </w:pPr>
      <w:r w:rsidRPr="00595B41">
        <w:rPr>
          <w:rFonts w:asciiTheme="minorHAnsi" w:hAnsiTheme="minorHAnsi"/>
          <w:sz w:val="24"/>
          <w:szCs w:val="24"/>
        </w:rPr>
        <w:t>Edited books:</w:t>
      </w:r>
      <w:r w:rsidRPr="00595B41">
        <w:rPr>
          <w:rFonts w:asciiTheme="minorHAnsi" w:hAnsiTheme="minorHAnsi"/>
          <w:sz w:val="24"/>
          <w:szCs w:val="24"/>
        </w:rPr>
        <w:br/>
        <w:t xml:space="preserve">- with M. </w:t>
      </w:r>
      <w:proofErr w:type="spellStart"/>
      <w:r w:rsidRPr="00595B41">
        <w:rPr>
          <w:rFonts w:asciiTheme="minorHAnsi" w:hAnsiTheme="minorHAnsi"/>
          <w:sz w:val="24"/>
          <w:szCs w:val="24"/>
        </w:rPr>
        <w:t>Beaney</w:t>
      </w:r>
      <w:proofErr w:type="spellEnd"/>
      <w:r w:rsidRPr="00595B41">
        <w:rPr>
          <w:rFonts w:asciiTheme="minorHAnsi" w:hAnsiTheme="minorHAnsi"/>
          <w:sz w:val="24"/>
          <w:szCs w:val="24"/>
        </w:rPr>
        <w:t xml:space="preserve">, and C. </w:t>
      </w:r>
      <w:proofErr w:type="spellStart"/>
      <w:r w:rsidRPr="00595B41">
        <w:rPr>
          <w:rFonts w:asciiTheme="minorHAnsi" w:hAnsiTheme="minorHAnsi"/>
          <w:sz w:val="24"/>
          <w:szCs w:val="24"/>
        </w:rPr>
        <w:t>Penco</w:t>
      </w:r>
      <w:proofErr w:type="spellEnd"/>
      <w:r w:rsidRPr="00595B41">
        <w:rPr>
          <w:rFonts w:asciiTheme="minorHAnsi" w:hAnsiTheme="minorHAnsi"/>
          <w:sz w:val="24"/>
          <w:szCs w:val="24"/>
        </w:rPr>
        <w:t xml:space="preserve"> (eds.), Explaining the Mental, Cambridge Scholars Publishing, Newcastle, 2007</w:t>
      </w:r>
      <w:r w:rsidRPr="00595B41">
        <w:rPr>
          <w:rFonts w:asciiTheme="minorHAnsi" w:hAnsiTheme="minorHAnsi"/>
          <w:sz w:val="24"/>
          <w:szCs w:val="24"/>
        </w:rPr>
        <w:br/>
        <w:t xml:space="preserve">- with M. C. Amoretti, </w:t>
      </w:r>
      <w:proofErr w:type="spellStart"/>
      <w:r w:rsidRPr="00595B41">
        <w:rPr>
          <w:rFonts w:asciiTheme="minorHAnsi" w:hAnsiTheme="minorHAnsi"/>
          <w:sz w:val="24"/>
          <w:szCs w:val="24"/>
        </w:rPr>
        <w:t>Disaccordo</w:t>
      </w:r>
      <w:proofErr w:type="spellEnd"/>
      <w:r w:rsidRPr="00595B41">
        <w:rPr>
          <w:rFonts w:asciiTheme="minorHAnsi" w:hAnsiTheme="minorHAnsi"/>
          <w:sz w:val="24"/>
          <w:szCs w:val="24"/>
        </w:rPr>
        <w:t xml:space="preserve">, </w:t>
      </w:r>
      <w:proofErr w:type="spellStart"/>
      <w:r w:rsidRPr="00595B41">
        <w:rPr>
          <w:rFonts w:asciiTheme="minorHAnsi" w:hAnsiTheme="minorHAnsi"/>
          <w:sz w:val="24"/>
          <w:szCs w:val="24"/>
        </w:rPr>
        <w:t>Annuario</w:t>
      </w:r>
      <w:proofErr w:type="spellEnd"/>
      <w:r w:rsidRPr="00595B41">
        <w:rPr>
          <w:rFonts w:asciiTheme="minorHAnsi" w:hAnsiTheme="minorHAnsi"/>
          <w:sz w:val="24"/>
          <w:szCs w:val="24"/>
        </w:rPr>
        <w:t xml:space="preserve"> </w:t>
      </w:r>
      <w:proofErr w:type="spellStart"/>
      <w:r w:rsidRPr="00595B41">
        <w:rPr>
          <w:rFonts w:asciiTheme="minorHAnsi" w:hAnsiTheme="minorHAnsi"/>
          <w:sz w:val="24"/>
          <w:szCs w:val="24"/>
        </w:rPr>
        <w:t>della</w:t>
      </w:r>
      <w:proofErr w:type="spellEnd"/>
      <w:r w:rsidRPr="00595B41">
        <w:rPr>
          <w:rFonts w:asciiTheme="minorHAnsi" w:hAnsiTheme="minorHAnsi"/>
          <w:sz w:val="24"/>
          <w:szCs w:val="24"/>
        </w:rPr>
        <w:t xml:space="preserve"> </w:t>
      </w:r>
      <w:proofErr w:type="spellStart"/>
      <w:r w:rsidRPr="00595B41">
        <w:rPr>
          <w:rFonts w:asciiTheme="minorHAnsi" w:hAnsiTheme="minorHAnsi"/>
          <w:sz w:val="24"/>
          <w:szCs w:val="24"/>
        </w:rPr>
        <w:t>Società</w:t>
      </w:r>
      <w:proofErr w:type="spellEnd"/>
      <w:r w:rsidRPr="00595B41">
        <w:rPr>
          <w:rFonts w:asciiTheme="minorHAnsi" w:hAnsiTheme="minorHAnsi"/>
          <w:sz w:val="24"/>
          <w:szCs w:val="24"/>
        </w:rPr>
        <w:t xml:space="preserve"> </w:t>
      </w:r>
      <w:proofErr w:type="spellStart"/>
      <w:r w:rsidRPr="00595B41">
        <w:rPr>
          <w:rFonts w:asciiTheme="minorHAnsi" w:hAnsiTheme="minorHAnsi"/>
          <w:sz w:val="24"/>
          <w:szCs w:val="24"/>
        </w:rPr>
        <w:t>Italiana</w:t>
      </w:r>
      <w:proofErr w:type="spellEnd"/>
      <w:r w:rsidRPr="00595B41">
        <w:rPr>
          <w:rFonts w:asciiTheme="minorHAnsi" w:hAnsiTheme="minorHAnsi"/>
          <w:sz w:val="24"/>
          <w:szCs w:val="24"/>
        </w:rPr>
        <w:t xml:space="preserve"> di </w:t>
      </w:r>
      <w:proofErr w:type="spellStart"/>
      <w:r w:rsidRPr="00595B41">
        <w:rPr>
          <w:rFonts w:asciiTheme="minorHAnsi" w:hAnsiTheme="minorHAnsi"/>
          <w:sz w:val="24"/>
          <w:szCs w:val="24"/>
        </w:rPr>
        <w:t>Filosofia</w:t>
      </w:r>
      <w:proofErr w:type="spellEnd"/>
      <w:r w:rsidRPr="00595B41">
        <w:rPr>
          <w:rFonts w:asciiTheme="minorHAnsi" w:hAnsiTheme="minorHAnsi"/>
          <w:sz w:val="24"/>
          <w:szCs w:val="24"/>
        </w:rPr>
        <w:t xml:space="preserve"> </w:t>
      </w:r>
      <w:proofErr w:type="spellStart"/>
      <w:r w:rsidRPr="00595B41">
        <w:rPr>
          <w:rFonts w:asciiTheme="minorHAnsi" w:hAnsiTheme="minorHAnsi"/>
          <w:sz w:val="24"/>
          <w:szCs w:val="24"/>
        </w:rPr>
        <w:t>Analitica</w:t>
      </w:r>
      <w:proofErr w:type="spellEnd"/>
      <w:r w:rsidRPr="00595B41">
        <w:rPr>
          <w:rFonts w:asciiTheme="minorHAnsi" w:hAnsiTheme="minorHAnsi"/>
          <w:sz w:val="24"/>
          <w:szCs w:val="24"/>
        </w:rPr>
        <w:t xml:space="preserve"> (SIFA), Mimesis, Milano, 2012</w:t>
      </w:r>
    </w:p>
    <w:p w14:paraId="61DCA9A5" w14:textId="77777777" w:rsidR="00785C39" w:rsidRPr="00595B41" w:rsidRDefault="00785C39" w:rsidP="00785C39">
      <w:pPr>
        <w:pStyle w:val="NormalWeb"/>
        <w:rPr>
          <w:rFonts w:asciiTheme="minorHAnsi" w:hAnsiTheme="minorHAnsi"/>
          <w:sz w:val="24"/>
          <w:szCs w:val="24"/>
          <w:lang w:val="it-IT"/>
        </w:rPr>
      </w:pPr>
      <w:r w:rsidRPr="00595B41">
        <w:rPr>
          <w:rFonts w:asciiTheme="minorHAnsi" w:hAnsiTheme="minorHAnsi"/>
          <w:sz w:val="24"/>
          <w:szCs w:val="24"/>
          <w:lang w:val="it-IT"/>
        </w:rPr>
        <w:t>Papers in Italian:</w:t>
      </w:r>
      <w:r w:rsidRPr="00595B41">
        <w:rPr>
          <w:rFonts w:asciiTheme="minorHAnsi" w:hAnsiTheme="minorHAnsi"/>
          <w:sz w:val="24"/>
          <w:szCs w:val="24"/>
          <w:lang w:val="it-IT"/>
        </w:rPr>
        <w:br/>
        <w:t>- (1999) “Proposizioni e Indicali”, Lingua e Stile 34: 317-338</w:t>
      </w:r>
      <w:r w:rsidRPr="00595B41">
        <w:rPr>
          <w:rFonts w:asciiTheme="minorHAnsi" w:hAnsiTheme="minorHAnsi"/>
          <w:sz w:val="24"/>
          <w:szCs w:val="24"/>
          <w:lang w:val="it-IT"/>
        </w:rPr>
        <w:br/>
        <w:t>- (2001) “Nomi Propri, Descrizioni Definite e Contenuti Proposizionali. Su un fraintendimento di Kripke”, Epistemologia 24: 123-146</w:t>
      </w:r>
      <w:r w:rsidRPr="00595B41">
        <w:rPr>
          <w:rFonts w:asciiTheme="minorHAnsi" w:hAnsiTheme="minorHAnsi"/>
          <w:sz w:val="24"/>
          <w:szCs w:val="24"/>
          <w:lang w:val="it-IT"/>
        </w:rPr>
        <w:br/>
        <w:t>- (2001) “Realismo Intenzionale, Naturalizzazione dell'Intenzionalità ed Esternismo”, in Filosofia e Linguaggio in Italia. Nuove ricerche in corso. Atti del VIII congresso nazionale della Società Italiana di Filosofia del Linguaggio, Cosenza, 2001. Copyright 2002 Dipartimento di Filosofia - Università della Calabria depositato ai sensi di legge presso la Prefettura di Cosenza</w:t>
      </w:r>
      <w:r w:rsidRPr="00595B41">
        <w:rPr>
          <w:rFonts w:asciiTheme="minorHAnsi" w:hAnsiTheme="minorHAnsi"/>
          <w:sz w:val="24"/>
          <w:szCs w:val="24"/>
          <w:lang w:val="it-IT"/>
        </w:rPr>
        <w:br/>
        <w:t>- (2002) The following entries of the Dizionario delle Opere, Bompiani, 2005: “The Meaning of Meaning” by C. K. Ogden, and A. Richards, “The Concept of Mind” by G. Ryle, “The Foundation of Empiricism” by A. Ayer, “Language, Truth and Logic” by A. Ayer</w:t>
      </w:r>
      <w:r w:rsidRPr="00595B41">
        <w:rPr>
          <w:rFonts w:asciiTheme="minorHAnsi" w:hAnsiTheme="minorHAnsi"/>
          <w:sz w:val="24"/>
          <w:szCs w:val="24"/>
          <w:lang w:val="it-IT"/>
        </w:rPr>
        <w:br/>
        <w:t>- (2003) “Sull'Olismo Semantico”, Rivista di Filosofia 45: 493-509</w:t>
      </w:r>
      <w:r w:rsidRPr="00595B41">
        <w:rPr>
          <w:rFonts w:asciiTheme="minorHAnsi" w:hAnsiTheme="minorHAnsi"/>
          <w:sz w:val="24"/>
          <w:szCs w:val="24"/>
          <w:lang w:val="it-IT"/>
        </w:rPr>
        <w:br/>
        <w:t>- (2007) “Entità Pleonastiche”, Chora 14: 49-54</w:t>
      </w:r>
      <w:r w:rsidRPr="00595B41">
        <w:rPr>
          <w:rFonts w:asciiTheme="minorHAnsi" w:hAnsiTheme="minorHAnsi"/>
          <w:sz w:val="24"/>
          <w:szCs w:val="24"/>
          <w:lang w:val="it-IT"/>
        </w:rPr>
        <w:br/>
        <w:t>- (2010) “Deflazionismo e Idoneità alla Verità”, in M. Carrara, and V. Morato (eds.), Verità. Annuario e Bollettino della Società Italiana di Filosofia Analitica (SIFA) 2010, Mimesis Edizioni, Milano, pp. 333-339</w:t>
      </w:r>
      <w:r w:rsidRPr="00595B41">
        <w:rPr>
          <w:rFonts w:asciiTheme="minorHAnsi" w:hAnsiTheme="minorHAnsi"/>
          <w:sz w:val="24"/>
          <w:szCs w:val="24"/>
          <w:lang w:val="it-IT"/>
        </w:rPr>
        <w:br/>
        <w:t>- (2011) “Descrizioni Definite e Forma Logica”, in R. Davies (ed.), Analisi. Annuario della Società Italiana di Filosofia Analitica (SIFA) 2011, Mimesis Edizioni, Miano, 2011, pp. 315-322</w:t>
      </w:r>
      <w:r w:rsidRPr="00595B41">
        <w:rPr>
          <w:rFonts w:asciiTheme="minorHAnsi" w:hAnsiTheme="minorHAnsi"/>
          <w:sz w:val="24"/>
          <w:szCs w:val="24"/>
          <w:lang w:val="it-IT"/>
        </w:rPr>
        <w:br/>
        <w:t>- (2013) “Descrizioni Definite”, APhEx, 8: 1-53</w:t>
      </w:r>
      <w:r w:rsidRPr="00595B41">
        <w:rPr>
          <w:rFonts w:asciiTheme="minorHAnsi" w:hAnsiTheme="minorHAnsi"/>
          <w:sz w:val="24"/>
          <w:szCs w:val="24"/>
          <w:lang w:val="it-IT"/>
        </w:rPr>
        <w:br/>
        <w:t>- (2015) “Semantica, Metafisica e Competenza Linguistica: L’Eredità di Dummett”, Rivista Italiana di Filosofia del Linguaggio 8, 1, pp. 307-320.</w:t>
      </w:r>
      <w:r w:rsidRPr="00595B41">
        <w:rPr>
          <w:rFonts w:asciiTheme="minorHAnsi" w:hAnsiTheme="minorHAnsi"/>
          <w:sz w:val="24"/>
          <w:szCs w:val="24"/>
          <w:lang w:val="it-IT"/>
        </w:rPr>
        <w:br/>
        <w:t>- (2020) “Michael Dummett: La Verità”, in G. Bonino, C. Gabbani, and P. Tripodi (eds.), Biblioteca analitica: i testi fondamentali, Carocci, Roma, pp. 215-228.</w:t>
      </w:r>
    </w:p>
    <w:p w14:paraId="53F1902B" w14:textId="7534B6A8" w:rsidR="00232750" w:rsidRPr="00595B41" w:rsidRDefault="00785C39" w:rsidP="00232750">
      <w:pPr>
        <w:pStyle w:val="NoSpacing"/>
        <w:rPr>
          <w:rStyle w:val="Hyperlink"/>
          <w:lang w:val="en-US"/>
        </w:rPr>
      </w:pPr>
      <w:r w:rsidRPr="00595B41">
        <w:rPr>
          <w:lang w:val="en-US"/>
        </w:rPr>
        <w:t>Papers in English:</w:t>
      </w:r>
      <w:r w:rsidRPr="00595B41">
        <w:rPr>
          <w:lang w:val="en-US"/>
        </w:rPr>
        <w:br/>
        <w:t xml:space="preserve">- (2005) with C. Penco, “Converging towards What? Pragmatic and Semantic Competence”, </w:t>
      </w:r>
      <w:r w:rsidR="00000000">
        <w:fldChar w:fldCharType="begin"/>
      </w:r>
      <w:r w:rsidR="00000000" w:rsidRPr="00341A51">
        <w:rPr>
          <w:lang w:val="en-US"/>
        </w:rPr>
        <w:instrText>HYPERLINK "http://CEUR-WS.org/Vol-136/"</w:instrText>
      </w:r>
      <w:r w:rsidR="00000000">
        <w:fldChar w:fldCharType="separate"/>
      </w:r>
      <w:r w:rsidRPr="00595B41">
        <w:rPr>
          <w:rStyle w:val="Hyperlink"/>
          <w:lang w:val="en-US"/>
        </w:rPr>
        <w:t>http://CEUR-WS.org/Vol-136/</w:t>
      </w:r>
      <w:r w:rsidR="00000000">
        <w:rPr>
          <w:rStyle w:val="Hyperlink"/>
          <w:lang w:val="en-US"/>
        </w:rPr>
        <w:fldChar w:fldCharType="end"/>
      </w:r>
      <w:r w:rsidRPr="00595B41">
        <w:rPr>
          <w:lang w:val="en-US"/>
        </w:rPr>
        <w:t>, ISSN 1613-0073</w:t>
      </w:r>
      <w:r w:rsidRPr="00595B41">
        <w:rPr>
          <w:lang w:val="en-US"/>
        </w:rPr>
        <w:br/>
        <w:t>- (2006) “Is Truth a Genuine Property?” in P. Valore (ed.), Topics on General and Formal Ontology, Polimetrica International Scientific Publisher, Monza, 2006: 267-79</w:t>
      </w:r>
      <w:r w:rsidRPr="00595B41">
        <w:rPr>
          <w:lang w:val="en-US"/>
        </w:rPr>
        <w:br/>
        <w:t>- (2006) “Propositions: What They Could and What They Could not Be”, Abstracta 2: 129-147</w:t>
      </w:r>
      <w:r w:rsidRPr="00595B41">
        <w:rPr>
          <w:lang w:val="en-US"/>
        </w:rPr>
        <w:br/>
        <w:t>- (2006) “A Defence of Fregean Propositions”, Disputatio 21: 40-64.</w:t>
      </w:r>
      <w:r w:rsidRPr="00595B41">
        <w:rPr>
          <w:lang w:val="en-US"/>
        </w:rPr>
        <w:br/>
        <w:t>- (2007) with M. Beaney and C. Penco, “Introduction”, in M. Beaney, C. Penco, and M. Vignolo (eds.) Explaining the Mental, Cambridge Scholars Publishing, Newcastle, 2007</w:t>
      </w:r>
      <w:r w:rsidRPr="00595B41">
        <w:rPr>
          <w:lang w:val="en-US"/>
        </w:rPr>
        <w:br/>
        <w:t xml:space="preserve">- (2008) “Deflationism, Truth-Aptness and Non-Factualism”, Studia Philosophica Estonica 1: </w:t>
      </w:r>
      <w:r w:rsidRPr="00595B41">
        <w:rPr>
          <w:lang w:val="en-US"/>
        </w:rPr>
        <w:lastRenderedPageBreak/>
        <w:t>200-219</w:t>
      </w:r>
      <w:r w:rsidRPr="00595B41">
        <w:rPr>
          <w:lang w:val="en-US"/>
        </w:rPr>
        <w:br/>
        <w:t>- (2008) “Horwich and Miller on Dispositionalist Theories of Meaning”, European Journal of Analytic Philosophy 4: 79-95</w:t>
      </w:r>
      <w:r w:rsidRPr="00595B41">
        <w:rPr>
          <w:lang w:val="en-US"/>
        </w:rPr>
        <w:br/>
        <w:t>- (2009) “Pleonastic Entities: Fictional Characters and Propositions”, Philosophical Investigations 32: 65-78</w:t>
      </w:r>
      <w:r w:rsidRPr="00595B41">
        <w:rPr>
          <w:lang w:val="en-US"/>
        </w:rPr>
        <w:br/>
        <w:t>- (2009) with P. Bouquet, T. Palpanas and H. Stoermer “A Conceptual Model for a Web-Scale Entity Name System”, in A. Gomez-Peréz, Y. Yu, and Y. Ding (eds.), ASWC 2009, LNCS 5926 pp. 46-60, Springer-Verlag Berlin Heildelberg, 2009</w:t>
      </w:r>
      <w:r w:rsidRPr="00595B41">
        <w:rPr>
          <w:lang w:val="en-US"/>
        </w:rPr>
        <w:br/>
        <w:t>- (2010) “The Ontology of Products”, Metaphysica, 11: 1-16</w:t>
      </w:r>
      <w:r w:rsidRPr="00595B41">
        <w:rPr>
          <w:lang w:val="en-US"/>
        </w:rPr>
        <w:br/>
        <w:t>- (2010) “Why Non-factualists Should love Conceptual Role Semantics”, Grazer Philosophische Studien 80: 1-19</w:t>
      </w:r>
      <w:r w:rsidRPr="00595B41">
        <w:rPr>
          <w:lang w:val="en-US"/>
        </w:rPr>
        <w:br/>
        <w:t>- (2010) “Towards an Ontology of Products”, in A. Galton, and R. Mizoguchi (eds.) Formal Ontology in Information System, Proceedings of the Sixth International Conference (FOIS 2010), IOS Press, Amsterdam, 2010</w:t>
      </w:r>
      <w:r w:rsidRPr="00595B41">
        <w:rPr>
          <w:lang w:val="en-US"/>
        </w:rPr>
        <w:br/>
        <w:t>- (2010) “Does Deflationism Lead Necessarily to Minimalism about Truth-Aptness?”, Polish Journal of Philosophy 4: 81-98</w:t>
      </w:r>
      <w:r w:rsidRPr="00595B41">
        <w:rPr>
          <w:lang w:val="en-US"/>
        </w:rPr>
        <w:br/>
        <w:t>- (2010) “Meaning, Classical Logic and Semantic Realism”, Prolegomena 9: 25-44</w:t>
      </w:r>
      <w:r w:rsidRPr="00595B41">
        <w:rPr>
          <w:lang w:val="en-US"/>
        </w:rPr>
        <w:br/>
        <w:t>- (2010) “The Referential/Attributive Interpretation of Definite Descriptions and the Pragmatic Filter”, in G. Ferrari, P. Bouquet, M. Cruciani, F. Giardini (eds.), Pratiche della Cognizione: Atti del 7th Convegno della Società Italiana di Scienze Cognitive, UniService, Trento, 2010, pp. 107-111</w:t>
      </w:r>
      <w:r w:rsidRPr="00595B41">
        <w:rPr>
          <w:lang w:val="en-US"/>
        </w:rPr>
        <w:br/>
        <w:t>- (2010) “Abstracting Propositions: How Many of Them Do We Need?”, Conceptus 39: 7-30</w:t>
      </w:r>
      <w:r w:rsidRPr="00595B41">
        <w:rPr>
          <w:lang w:val="en-US"/>
        </w:rPr>
        <w:br/>
        <w:t>- (2011) “Contextualism, Pragmatics and Definite Descriptions”, Lodz Papers in Pragmatics, Special Issue on Contextualism, 7.2: 291-307</w:t>
      </w:r>
      <w:r w:rsidRPr="00595B41">
        <w:rPr>
          <w:lang w:val="en-US"/>
        </w:rPr>
        <w:br/>
        <w:t>- (2012) with P. Bouquet, and H. Stoermer, “Web of Data and Web of Entities: Identity and Reference in Interlinked Data in the Semantic Web”, Philosophy &amp; Technology 25: 5-26</w:t>
      </w:r>
      <w:r w:rsidRPr="00595B41">
        <w:rPr>
          <w:lang w:val="en-US"/>
        </w:rPr>
        <w:br/>
        <w:t>- (2012) with M.C. Amoretti, “Disagreement in Philosophy”, in C. M. Amoretti and M. Vignolo (eds.), Disaccordo. Annuario della Società Italiana di Filosofia Analitica (SIFA), Mimesis, Milano, 2012, pp. 5-21</w:t>
      </w:r>
      <w:r w:rsidRPr="00595B41">
        <w:rPr>
          <w:lang w:val="en-US"/>
        </w:rPr>
        <w:br/>
        <w:t>- (2012) “A Relativistic Note on Villa's Pragmatically Oriented Theory of Legal Interpretation”, Revus 17: 67-75</w:t>
      </w:r>
      <w:r w:rsidRPr="00595B41">
        <w:rPr>
          <w:lang w:val="en-US"/>
        </w:rPr>
        <w:br/>
        <w:t>- (2012) “Referential/Attributive: The Explanatory Gap of The Contextualist Theory”, dialectica 66: 621–633</w:t>
      </w:r>
      <w:r w:rsidRPr="00595B41">
        <w:rPr>
          <w:lang w:val="en-US"/>
        </w:rPr>
        <w:br/>
        <w:t>- (2013) “On the Truth-Conditional Relevance of Modes of Presentation”, Disputatio, V, 35: 57-66</w:t>
      </w:r>
      <w:r w:rsidRPr="00595B41">
        <w:rPr>
          <w:lang w:val="en-US"/>
        </w:rPr>
        <w:br/>
        <w:t>- (2013) “Surprise Indexicalism”, in C. Penco, and F. Domaneschi (eds.) What is Said and What is Not, CSLI Publications, Stanford, pp. 59-85</w:t>
      </w:r>
      <w:r w:rsidRPr="00595B41">
        <w:rPr>
          <w:lang w:val="en-US"/>
        </w:rPr>
        <w:br/>
        <w:t>- (2014) “What Incompleteness Arguments are and What They are not”, Ratio, XXVII, 2: 123-139</w:t>
      </w:r>
      <w:r w:rsidRPr="00595B41">
        <w:rPr>
          <w:lang w:val="en-US"/>
        </w:rPr>
        <w:br/>
        <w:t>- (2014) “What Incompleteness Arguments Tell Us about Semantics and Linguistic Competence”, in P. Stalmaszczyk (ed.), Semantics and Beyond. Philosophical and Linguistic Investigations, Walter de Gruyter, Berlin, 2014, pp. 271-290</w:t>
      </w:r>
      <w:r w:rsidRPr="00595B41">
        <w:rPr>
          <w:lang w:val="en-US"/>
        </w:rPr>
        <w:br/>
        <w:t>- (2015) “Saving Uniqueness”, Philosophia 43: 1177-1198</w:t>
      </w:r>
      <w:r w:rsidRPr="00595B41">
        <w:rPr>
          <w:lang w:val="en-US"/>
        </w:rPr>
        <w:br/>
        <w:t>- (2015) “Dummett’s Legacy: Semantics, Metaphysics and Linguistic Competence”, Disputatio, 41: 207-229</w:t>
      </w:r>
      <w:r w:rsidRPr="00595B41">
        <w:rPr>
          <w:lang w:val="en-US"/>
        </w:rPr>
        <w:br/>
        <w:t>- (2016) “Definite Descriptions and Contextualism”, in P. Stalmaszczyk (ed.), Philosophical and Linguistic Analyses of Reference, Peter Lang, Frankfurt am Main, 2016, pp. 155-174</w:t>
      </w:r>
      <w:r w:rsidRPr="00595B41">
        <w:rPr>
          <w:lang w:val="en-US"/>
        </w:rPr>
        <w:br/>
        <w:t>- (2017) with F. Domaneschi, and S. Di Paola, “Testing the Causal Theory of Reference”, Cognition, 16(1C): 1-19</w:t>
      </w:r>
      <w:r w:rsidRPr="00595B41">
        <w:rPr>
          <w:lang w:val="en-US"/>
        </w:rPr>
        <w:br/>
        <w:t xml:space="preserve">- (2018) with A. Kristan, “Assessment Sensitivity in Legal Discourse”, Inquiry, 61, 4: 394-421. </w:t>
      </w:r>
      <w:r w:rsidR="00000000">
        <w:lastRenderedPageBreak/>
        <w:fldChar w:fldCharType="begin"/>
      </w:r>
      <w:r w:rsidR="00000000" w:rsidRPr="00341A51">
        <w:rPr>
          <w:lang w:val="en-US"/>
        </w:rPr>
        <w:instrText>HYPERLINK "https://doi.org/10.1080/0020174X.2017.1371874"</w:instrText>
      </w:r>
      <w:r w:rsidR="00000000">
        <w:fldChar w:fldCharType="separate"/>
      </w:r>
      <w:r w:rsidRPr="00595B41">
        <w:rPr>
          <w:rStyle w:val="Hyperlink"/>
          <w:lang w:val="en-US"/>
        </w:rPr>
        <w:t>https://doi.org/10.1080/0020174X.2017.1371874</w:t>
      </w:r>
      <w:r w:rsidR="00000000">
        <w:rPr>
          <w:rStyle w:val="Hyperlink"/>
          <w:lang w:val="en-US"/>
        </w:rPr>
        <w:fldChar w:fldCharType="end"/>
      </w:r>
      <w:r w:rsidRPr="00595B41">
        <w:rPr>
          <w:lang w:val="en-US"/>
        </w:rPr>
        <w:br/>
        <w:t xml:space="preserve">- (2018) with F. Domaneschi, “Referential Intuitions are Still Problematic”, Analysis, 78, 3: 472–483. </w:t>
      </w:r>
      <w:r w:rsidR="00000000">
        <w:fldChar w:fldCharType="begin"/>
      </w:r>
      <w:r w:rsidR="00000000" w:rsidRPr="00341A51">
        <w:rPr>
          <w:lang w:val="en-US"/>
        </w:rPr>
        <w:instrText>HYPERLINK "https://doi.org/10.1093/analys/anx148"</w:instrText>
      </w:r>
      <w:r w:rsidR="00000000">
        <w:fldChar w:fldCharType="separate"/>
      </w:r>
      <w:r w:rsidRPr="00595B41">
        <w:rPr>
          <w:rStyle w:val="Hyperlink"/>
          <w:lang w:val="en-US"/>
        </w:rPr>
        <w:t>https://doi.org/10.1093/analys/anx148</w:t>
      </w:r>
      <w:r w:rsidR="00000000">
        <w:rPr>
          <w:rStyle w:val="Hyperlink"/>
          <w:lang w:val="en-US"/>
        </w:rPr>
        <w:fldChar w:fldCharType="end"/>
      </w:r>
      <w:r w:rsidRPr="00595B41">
        <w:rPr>
          <w:lang w:val="en-US"/>
        </w:rPr>
        <w:br/>
        <w:t>- (2019) with C. Penco, “Some Reflections on Conventions”, Croatian Journal of Philosophy, 57: 375-402.</w:t>
      </w:r>
      <w:r w:rsidRPr="00595B41">
        <w:rPr>
          <w:lang w:val="en-US"/>
        </w:rPr>
        <w:br/>
        <w:t xml:space="preserve">- (2020) with F. Domaneschi, “Reference and the Ambiguity of Truth-Value Judgments”, Mind &amp; Language, 35, 4: 440-455. </w:t>
      </w:r>
      <w:r w:rsidR="00000000">
        <w:fldChar w:fldCharType="begin"/>
      </w:r>
      <w:r w:rsidR="00000000" w:rsidRPr="00341A51">
        <w:rPr>
          <w:lang w:val="en-US"/>
        </w:rPr>
        <w:instrText>HYPERLINK "http://doi.org/10.1111/mila.12254"</w:instrText>
      </w:r>
      <w:r w:rsidR="00000000">
        <w:fldChar w:fldCharType="separate"/>
      </w:r>
      <w:r w:rsidRPr="00595B41">
        <w:rPr>
          <w:rStyle w:val="Hyperlink"/>
          <w:lang w:val="en-US"/>
        </w:rPr>
        <w:t>http://doi.org/10.1111/mila.12254</w:t>
      </w:r>
      <w:r w:rsidR="00000000">
        <w:rPr>
          <w:rStyle w:val="Hyperlink"/>
          <w:lang w:val="en-US"/>
        </w:rPr>
        <w:fldChar w:fldCharType="end"/>
      </w:r>
      <w:r w:rsidRPr="00595B41">
        <w:rPr>
          <w:lang w:val="en-US"/>
        </w:rPr>
        <w:br/>
        <w:t xml:space="preserve">- (2020) with C. Penco, “Meaning and Context-Sensitivity”, Internet Encyclopedia of Philosophy. </w:t>
      </w:r>
      <w:r w:rsidR="00000000">
        <w:fldChar w:fldCharType="begin"/>
      </w:r>
      <w:r w:rsidR="00000000" w:rsidRPr="00341A51">
        <w:rPr>
          <w:lang w:val="en-US"/>
        </w:rPr>
        <w:instrText>HYPERLINK "https://www.iep.utm.edu/mean-c-s/"</w:instrText>
      </w:r>
      <w:r w:rsidR="00000000">
        <w:fldChar w:fldCharType="separate"/>
      </w:r>
      <w:r w:rsidRPr="00595B41">
        <w:rPr>
          <w:rStyle w:val="Hyperlink"/>
          <w:lang w:val="en-US"/>
        </w:rPr>
        <w:t>https://www.iep.utm.edu/mean-c-s/</w:t>
      </w:r>
      <w:r w:rsidR="00000000">
        <w:rPr>
          <w:rStyle w:val="Hyperlink"/>
          <w:lang w:val="en-US"/>
        </w:rPr>
        <w:fldChar w:fldCharType="end"/>
      </w:r>
      <w:r w:rsidRPr="00595B41">
        <w:rPr>
          <w:lang w:val="en-US"/>
        </w:rPr>
        <w:br/>
        <w:t xml:space="preserve">- (2021) “The Lying Test, Ambiguity, and Determination of Content”, Theoria, 87, 3: 847-857. </w:t>
      </w:r>
      <w:r w:rsidR="00000000">
        <w:fldChar w:fldCharType="begin"/>
      </w:r>
      <w:r w:rsidR="00000000" w:rsidRPr="00341A51">
        <w:rPr>
          <w:lang w:val="en-US"/>
        </w:rPr>
        <w:instrText>HYPERLINK "https://doi.org/10.1111/theo.12302"</w:instrText>
      </w:r>
      <w:r w:rsidR="00000000">
        <w:fldChar w:fldCharType="separate"/>
      </w:r>
      <w:r w:rsidRPr="00595B41">
        <w:rPr>
          <w:rStyle w:val="Hyperlink"/>
          <w:lang w:val="en-US"/>
        </w:rPr>
        <w:t>https://doi.org/10.1111/theo.12302</w:t>
      </w:r>
      <w:r w:rsidR="00000000">
        <w:rPr>
          <w:rStyle w:val="Hyperlink"/>
          <w:lang w:val="en-US"/>
        </w:rPr>
        <w:fldChar w:fldCharType="end"/>
      </w:r>
      <w:r w:rsidRPr="00595B41">
        <w:rPr>
          <w:lang w:val="en-US"/>
        </w:rPr>
        <w:br/>
        <w:t xml:space="preserve">- (2021) with F. Domaneschi, “Intuitions on Semantic Reference”, Review of Philosophy and Psychology. </w:t>
      </w:r>
      <w:r w:rsidR="00000000">
        <w:fldChar w:fldCharType="begin"/>
      </w:r>
      <w:r w:rsidR="00000000" w:rsidRPr="00341A51">
        <w:rPr>
          <w:lang w:val="en-US"/>
        </w:rPr>
        <w:instrText>HYPERLINK "https://doi.org/10.1007/s13164-021-00560-7"</w:instrText>
      </w:r>
      <w:r w:rsidR="00000000">
        <w:fldChar w:fldCharType="separate"/>
      </w:r>
      <w:r w:rsidRPr="00595B41">
        <w:rPr>
          <w:rStyle w:val="Hyperlink"/>
          <w:lang w:val="en-US"/>
        </w:rPr>
        <w:t>https://doi.org/10.1007/s13164-021-00560-7</w:t>
      </w:r>
      <w:r w:rsidR="00000000">
        <w:rPr>
          <w:rStyle w:val="Hyperlink"/>
          <w:lang w:val="en-US"/>
        </w:rPr>
        <w:fldChar w:fldCharType="end"/>
      </w:r>
    </w:p>
    <w:p w14:paraId="02504099" w14:textId="737E18E8" w:rsidR="00232750" w:rsidRDefault="00232750" w:rsidP="003E1A5F">
      <w:pPr>
        <w:rPr>
          <w:rStyle w:val="Hyperlink"/>
          <w:rFonts w:eastAsia="Times New Roman" w:cs="Times New Roman"/>
          <w:shd w:val="clear" w:color="auto" w:fill="FFFFFF"/>
          <w:lang w:val="en-IT" w:eastAsia="en-GB"/>
        </w:rPr>
      </w:pPr>
      <w:r w:rsidRPr="00595B41">
        <w:rPr>
          <w:lang w:val="en-US"/>
        </w:rPr>
        <w:t>- (</w:t>
      </w:r>
      <w:r w:rsidR="003E1A5F">
        <w:rPr>
          <w:lang w:val="en-US"/>
        </w:rPr>
        <w:t>2022</w:t>
      </w:r>
      <w:r w:rsidRPr="00595B41">
        <w:rPr>
          <w:lang w:val="en-US"/>
        </w:rPr>
        <w:t xml:space="preserve">) “Minimal Contents, Lies, and Conventions of Language”, </w:t>
      </w:r>
      <w:proofErr w:type="spellStart"/>
      <w:r w:rsidRPr="00595B41">
        <w:rPr>
          <w:lang w:val="en-US"/>
        </w:rPr>
        <w:t>Synthese</w:t>
      </w:r>
      <w:proofErr w:type="spellEnd"/>
      <w:r w:rsidRPr="00595B41">
        <w:rPr>
          <w:lang w:val="en-US"/>
        </w:rPr>
        <w:t>.</w:t>
      </w:r>
      <w:r w:rsidR="003E1A5F">
        <w:rPr>
          <w:lang w:val="en-US"/>
        </w:rPr>
        <w:t xml:space="preserve"> </w:t>
      </w:r>
      <w:r w:rsidR="00000000">
        <w:fldChar w:fldCharType="begin"/>
      </w:r>
      <w:r w:rsidR="00000000" w:rsidRPr="00341A51">
        <w:rPr>
          <w:lang w:val="en-US"/>
        </w:rPr>
        <w:instrText>HYPERLINK "https://doi.org/10.1007/s11229-022-03609-x"</w:instrText>
      </w:r>
      <w:r w:rsidR="00000000">
        <w:fldChar w:fldCharType="separate"/>
      </w:r>
      <w:r w:rsidR="003E1A5F" w:rsidRPr="0061297F">
        <w:rPr>
          <w:rStyle w:val="Hyperlink"/>
          <w:lang w:val="en-US"/>
        </w:rPr>
        <w:t>https://doi.org/</w:t>
      </w:r>
      <w:r w:rsidR="003E1A5F" w:rsidRPr="0061297F">
        <w:rPr>
          <w:rStyle w:val="Hyperlink"/>
          <w:rFonts w:eastAsia="Times New Roman" w:cs="Times New Roman"/>
          <w:shd w:val="clear" w:color="auto" w:fill="FFFFFF"/>
          <w:lang w:val="en-IT" w:eastAsia="en-GB"/>
        </w:rPr>
        <w:t>10.1007/s11229-022-03609-x</w:t>
      </w:r>
      <w:r w:rsidR="00000000">
        <w:rPr>
          <w:rStyle w:val="Hyperlink"/>
          <w:rFonts w:eastAsia="Times New Roman" w:cs="Times New Roman"/>
          <w:shd w:val="clear" w:color="auto" w:fill="FFFFFF"/>
          <w:lang w:val="en-IT" w:eastAsia="en-GB"/>
        </w:rPr>
        <w:fldChar w:fldCharType="end"/>
      </w:r>
    </w:p>
    <w:p w14:paraId="0CDD6594" w14:textId="456D2691" w:rsidR="00005E3E" w:rsidRPr="00005E3E" w:rsidRDefault="006B6ADD" w:rsidP="00005E3E">
      <w:pPr>
        <w:pStyle w:val="NoSpacing"/>
        <w:rPr>
          <w:shd w:val="clear" w:color="auto" w:fill="FFFFFF"/>
          <w:lang w:val="en-IT" w:eastAsia="en-GB"/>
        </w:rPr>
      </w:pPr>
      <w:r w:rsidRPr="00005E3E">
        <w:rPr>
          <w:rStyle w:val="Hyperlink"/>
          <w:rFonts w:eastAsia="Times New Roman" w:cs="Times New Roman"/>
          <w:color w:val="000000" w:themeColor="text1"/>
          <w:u w:val="none"/>
          <w:shd w:val="clear" w:color="auto" w:fill="FFFFFF"/>
          <w:lang w:val="en-US" w:eastAsia="en-GB"/>
        </w:rPr>
        <w:t xml:space="preserve">- </w:t>
      </w:r>
      <w:r w:rsidRPr="00005E3E">
        <w:rPr>
          <w:shd w:val="clear" w:color="auto" w:fill="FFFFFF"/>
          <w:lang w:val="en-US" w:eastAsia="en-GB"/>
        </w:rPr>
        <w:t>(202</w:t>
      </w:r>
      <w:r w:rsidR="00341A51">
        <w:rPr>
          <w:shd w:val="clear" w:color="auto" w:fill="FFFFFF"/>
          <w:lang w:val="en-US" w:eastAsia="en-GB"/>
        </w:rPr>
        <w:t>4</w:t>
      </w:r>
      <w:r w:rsidRPr="00005E3E">
        <w:rPr>
          <w:shd w:val="clear" w:color="auto" w:fill="FFFFFF"/>
          <w:lang w:val="en-US" w:eastAsia="en-GB"/>
        </w:rPr>
        <w:t xml:space="preserve">) “What is Said and Lying”, </w:t>
      </w:r>
      <w:proofErr w:type="spellStart"/>
      <w:r w:rsidRPr="00005E3E">
        <w:rPr>
          <w:shd w:val="clear" w:color="auto" w:fill="FFFFFF"/>
          <w:lang w:val="en-US" w:eastAsia="en-GB"/>
        </w:rPr>
        <w:t>Erkenntnis</w:t>
      </w:r>
      <w:proofErr w:type="spellEnd"/>
      <w:r w:rsidRPr="00005E3E">
        <w:rPr>
          <w:shd w:val="clear" w:color="auto" w:fill="FFFFFF"/>
          <w:lang w:val="en-US" w:eastAsia="en-GB"/>
        </w:rPr>
        <w:t>.</w:t>
      </w:r>
      <w:r w:rsidR="00005E3E">
        <w:rPr>
          <w:shd w:val="clear" w:color="auto" w:fill="FFFFFF"/>
          <w:lang w:val="en-US" w:eastAsia="en-GB"/>
        </w:rPr>
        <w:t xml:space="preserve"> </w:t>
      </w:r>
    </w:p>
    <w:p w14:paraId="781D1953" w14:textId="2A6BA32F" w:rsidR="003E1A5F" w:rsidRDefault="00000000" w:rsidP="00005E3E">
      <w:pPr>
        <w:pStyle w:val="NoSpacing"/>
        <w:rPr>
          <w:rStyle w:val="Hyperlink"/>
          <w:lang w:val="en-IT" w:eastAsia="en-GB"/>
        </w:rPr>
      </w:pPr>
      <w:r>
        <w:fldChar w:fldCharType="begin"/>
      </w:r>
      <w:r w:rsidRPr="00341A51">
        <w:rPr>
          <w:lang w:val="en-US"/>
        </w:rPr>
        <w:instrText>HYPERLINK "https://doi.org/10.1007/s10670-022-00648-1"</w:instrText>
      </w:r>
      <w:r>
        <w:fldChar w:fldCharType="separate"/>
      </w:r>
      <w:r w:rsidR="00005E3E" w:rsidRPr="00B3586B">
        <w:rPr>
          <w:rStyle w:val="Hyperlink"/>
          <w:lang w:val="en-IT" w:eastAsia="en-GB"/>
        </w:rPr>
        <w:t>https://doi.org/10.1007/s10670-022-00648-1</w:t>
      </w:r>
      <w:r>
        <w:rPr>
          <w:rStyle w:val="Hyperlink"/>
          <w:lang w:val="en-IT" w:eastAsia="en-GB"/>
        </w:rPr>
        <w:fldChar w:fldCharType="end"/>
      </w:r>
    </w:p>
    <w:p w14:paraId="21A903D5" w14:textId="171F3C79" w:rsidR="00EF2F42" w:rsidRPr="0052606B" w:rsidRDefault="00EF2F42" w:rsidP="00EF2F42">
      <w:pPr>
        <w:rPr>
          <w:rFonts w:ascii="Cambria" w:eastAsia="Times New Roman" w:hAnsi="Cambria"/>
          <w:color w:val="0000FF"/>
          <w:u w:val="single"/>
          <w:lang w:val="en-IT" w:eastAsia="en-GB"/>
        </w:rPr>
      </w:pPr>
      <w:r w:rsidRPr="00EF2F42">
        <w:rPr>
          <w:rStyle w:val="Hyperlink"/>
          <w:rFonts w:ascii="Cambria" w:hAnsi="Cambria"/>
          <w:color w:val="000000" w:themeColor="text1"/>
          <w:u w:val="none"/>
          <w:lang w:val="en-US" w:eastAsia="en-GB"/>
        </w:rPr>
        <w:t>- (2025) “The semantic commitment of liars”, The Philosophical Quarterly.</w:t>
      </w:r>
      <w:r w:rsidR="0052606B">
        <w:rPr>
          <w:rStyle w:val="Hyperlink"/>
          <w:rFonts w:ascii="Cambria" w:hAnsi="Cambria"/>
          <w:color w:val="000000" w:themeColor="text1"/>
          <w:u w:val="none"/>
          <w:lang w:val="en-US" w:eastAsia="en-GB"/>
        </w:rPr>
        <w:t xml:space="preserve"> </w:t>
      </w:r>
      <w:r w:rsidR="00000000">
        <w:fldChar w:fldCharType="begin"/>
      </w:r>
      <w:r w:rsidR="00000000" w:rsidRPr="00341A51">
        <w:rPr>
          <w:lang w:val="en-US"/>
        </w:rPr>
        <w:instrText>HYPERLINK "https://doi.org/10.1093/pq/pqaf046"</w:instrText>
      </w:r>
      <w:r w:rsidR="00000000">
        <w:fldChar w:fldCharType="separate"/>
      </w:r>
      <w:r w:rsidR="0052606B" w:rsidRPr="0052606B">
        <w:rPr>
          <w:rStyle w:val="Hyperlink"/>
          <w:rFonts w:ascii="Cambria" w:eastAsia="Times New Roman" w:hAnsi="Cambria"/>
          <w:lang w:val="en-IT" w:eastAsia="en-GB"/>
        </w:rPr>
        <w:t>https://doi.org/10.1093/pq/pqaf046</w:t>
      </w:r>
      <w:r w:rsidR="00000000">
        <w:rPr>
          <w:rStyle w:val="Hyperlink"/>
          <w:rFonts w:ascii="Cambria" w:eastAsia="Times New Roman" w:hAnsi="Cambria"/>
          <w:lang w:val="en-IT" w:eastAsia="en-GB"/>
        </w:rPr>
        <w:fldChar w:fldCharType="end"/>
      </w:r>
    </w:p>
    <w:p w14:paraId="44547051" w14:textId="110AA2B9" w:rsidR="0052606B" w:rsidRPr="0052606B" w:rsidRDefault="0052606B" w:rsidP="00EF2F42">
      <w:pPr>
        <w:rPr>
          <w:rFonts w:ascii="Cambria" w:eastAsia="Times New Roman" w:hAnsi="Cambria"/>
          <w:i/>
          <w:iCs/>
          <w:u w:val="single"/>
          <w:lang w:val="en-US" w:eastAsia="en-GB"/>
        </w:rPr>
      </w:pPr>
      <w:r w:rsidRPr="0052606B">
        <w:rPr>
          <w:rFonts w:ascii="Cambria" w:eastAsia="Times New Roman" w:hAnsi="Cambria"/>
          <w:color w:val="000000" w:themeColor="text1"/>
          <w:lang w:val="en-US" w:eastAsia="en-GB"/>
        </w:rPr>
        <w:t xml:space="preserve">- (Forthcoming) with </w:t>
      </w:r>
      <w:proofErr w:type="spellStart"/>
      <w:r w:rsidRPr="0052606B">
        <w:rPr>
          <w:rFonts w:ascii="Cambria" w:hAnsi="Cambria" w:cs="Calibri"/>
          <w:color w:val="000000" w:themeColor="text1"/>
          <w:lang w:val="en-US"/>
        </w:rPr>
        <w:t>Domaneschi</w:t>
      </w:r>
      <w:proofErr w:type="spellEnd"/>
      <w:r w:rsidRPr="0052606B">
        <w:rPr>
          <w:rFonts w:ascii="Cambria" w:hAnsi="Cambria" w:cs="Calibri"/>
          <w:color w:val="000000" w:themeColor="text1"/>
          <w:lang w:val="en-US"/>
        </w:rPr>
        <w:t xml:space="preserve">, F., </w:t>
      </w:r>
      <w:proofErr w:type="spellStart"/>
      <w:r w:rsidRPr="0052606B">
        <w:rPr>
          <w:rFonts w:ascii="Cambria" w:hAnsi="Cambria" w:cs="Calibri"/>
          <w:color w:val="000000" w:themeColor="text1"/>
          <w:lang w:val="en-US"/>
        </w:rPr>
        <w:t>D'Agruma</w:t>
      </w:r>
      <w:proofErr w:type="spellEnd"/>
      <w:r w:rsidRPr="0052606B">
        <w:rPr>
          <w:rFonts w:ascii="Cambria" w:hAnsi="Cambria" w:cs="Calibri"/>
          <w:color w:val="000000" w:themeColor="text1"/>
          <w:lang w:val="en-US"/>
        </w:rPr>
        <w:t xml:space="preserve">, N., Rodriguez </w:t>
      </w:r>
      <w:proofErr w:type="spellStart"/>
      <w:r w:rsidRPr="0052606B">
        <w:rPr>
          <w:rFonts w:ascii="Cambria" w:hAnsi="Cambria" w:cs="Calibri"/>
          <w:color w:val="000000" w:themeColor="text1"/>
          <w:lang w:val="en-US"/>
        </w:rPr>
        <w:t>Ronderos</w:t>
      </w:r>
      <w:proofErr w:type="spellEnd"/>
      <w:r w:rsidRPr="0052606B">
        <w:rPr>
          <w:rFonts w:ascii="Cambria" w:hAnsi="Cambria" w:cs="Calibri"/>
          <w:color w:val="000000" w:themeColor="text1"/>
          <w:lang w:val="en-US"/>
        </w:rPr>
        <w:t xml:space="preserve">, C., Eye-tracking </w:t>
      </w:r>
      <w:r w:rsidRPr="0052606B">
        <w:rPr>
          <w:rFonts w:ascii="Cambria" w:hAnsi="Cambria" w:cs="Calibri"/>
          <w:color w:val="000000"/>
          <w:lang w:val="en-US"/>
        </w:rPr>
        <w:t>evidence for the causal-historical theory of reference.</w:t>
      </w:r>
      <w:r w:rsidRPr="0052606B">
        <w:rPr>
          <w:rStyle w:val="apple-converted-space"/>
          <w:rFonts w:ascii="Cambria" w:hAnsi="Cambria" w:cs="Calibri"/>
          <w:color w:val="000000"/>
          <w:lang w:val="en-US"/>
        </w:rPr>
        <w:t> </w:t>
      </w:r>
      <w:r w:rsidRPr="0052606B">
        <w:rPr>
          <w:rStyle w:val="Emphasis"/>
          <w:rFonts w:ascii="Cambria" w:hAnsi="Cambria" w:cs="Calibri"/>
          <w:i w:val="0"/>
          <w:iCs w:val="0"/>
          <w:color w:val="000000"/>
          <w:lang w:val="en-US"/>
        </w:rPr>
        <w:t>Linguistics and Philosophy</w:t>
      </w:r>
      <w:r w:rsidRPr="0052606B">
        <w:rPr>
          <w:rFonts w:ascii="Cambria" w:hAnsi="Cambria" w:cs="Calibri"/>
          <w:i/>
          <w:iCs/>
          <w:color w:val="000000"/>
          <w:lang w:val="en-US"/>
        </w:rPr>
        <w:t>.</w:t>
      </w:r>
    </w:p>
    <w:p w14:paraId="6EF5096D" w14:textId="6C04C67D" w:rsidR="00EF2F42" w:rsidRPr="00EF2F42" w:rsidRDefault="00EF2F42" w:rsidP="00EF2F42">
      <w:pPr>
        <w:pStyle w:val="NoSpacing"/>
        <w:rPr>
          <w:color w:val="000000" w:themeColor="text1"/>
          <w:shd w:val="clear" w:color="auto" w:fill="FFFFFF"/>
          <w:lang w:val="en-IT" w:eastAsia="en-GB"/>
        </w:rPr>
      </w:pPr>
    </w:p>
    <w:p w14:paraId="38F8D07A" w14:textId="77777777" w:rsidR="003E1A5F" w:rsidRPr="003E1A5F" w:rsidRDefault="003E1A5F" w:rsidP="003E1A5F">
      <w:pPr>
        <w:rPr>
          <w:rFonts w:eastAsia="Times New Roman" w:cs="Times New Roman"/>
          <w:lang w:val="en-IT" w:eastAsia="en-GB"/>
        </w:rPr>
      </w:pPr>
    </w:p>
    <w:sectPr w:rsidR="003E1A5F" w:rsidRPr="003E1A5F" w:rsidSect="00426A91">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翿"/>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4587"/>
    <w:multiLevelType w:val="hybridMultilevel"/>
    <w:tmpl w:val="815626F2"/>
    <w:lvl w:ilvl="0" w:tplc="1E86861C">
      <w:numFmt w:val="bullet"/>
      <w:lvlText w:val="-"/>
      <w:lvlJc w:val="left"/>
      <w:pPr>
        <w:ind w:left="720" w:hanging="360"/>
      </w:pPr>
      <w:rPr>
        <w:rFonts w:ascii="Cambria" w:eastAsiaTheme="minorEastAsia" w:hAnsi="Cambria" w:cstheme="minorBidi" w:hint="default"/>
        <w:color w:val="0000FF"/>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D2060"/>
    <w:multiLevelType w:val="hybridMultilevel"/>
    <w:tmpl w:val="49E8D790"/>
    <w:lvl w:ilvl="0" w:tplc="572826C8">
      <w:numFmt w:val="bullet"/>
      <w:lvlText w:val="-"/>
      <w:lvlJc w:val="left"/>
      <w:pPr>
        <w:ind w:left="720" w:hanging="360"/>
      </w:pPr>
      <w:rPr>
        <w:rFonts w:ascii="Cambria" w:eastAsiaTheme="minorEastAsia" w:hAnsi="Cambria" w:cstheme="minorBidi" w:hint="default"/>
        <w:color w:val="0000FF"/>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344452">
    <w:abstractNumId w:val="1"/>
  </w:num>
  <w:num w:numId="2" w16cid:durableId="147830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C39"/>
    <w:rsid w:val="00005E3E"/>
    <w:rsid w:val="000A2732"/>
    <w:rsid w:val="00232750"/>
    <w:rsid w:val="00341A51"/>
    <w:rsid w:val="003E1A5F"/>
    <w:rsid w:val="00426A91"/>
    <w:rsid w:val="004E7D18"/>
    <w:rsid w:val="0052606B"/>
    <w:rsid w:val="00595B41"/>
    <w:rsid w:val="006B6ADD"/>
    <w:rsid w:val="00705145"/>
    <w:rsid w:val="00785C39"/>
    <w:rsid w:val="00A62ACD"/>
    <w:rsid w:val="00B3586B"/>
    <w:rsid w:val="00C25664"/>
    <w:rsid w:val="00EF2F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F4C2E"/>
  <w14:defaultImageDpi w14:val="300"/>
  <w15:docId w15:val="{B1F09163-4FB4-924F-8F9A-56C1902D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C3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85C39"/>
    <w:rPr>
      <w:color w:val="0000FF"/>
      <w:u w:val="single"/>
    </w:rPr>
  </w:style>
  <w:style w:type="paragraph" w:styleId="NoSpacing">
    <w:name w:val="No Spacing"/>
    <w:uiPriority w:val="1"/>
    <w:qFormat/>
    <w:rsid w:val="00232750"/>
  </w:style>
  <w:style w:type="character" w:styleId="UnresolvedMention">
    <w:name w:val="Unresolved Mention"/>
    <w:basedOn w:val="DefaultParagraphFont"/>
    <w:uiPriority w:val="99"/>
    <w:semiHidden/>
    <w:unhideWhenUsed/>
    <w:rsid w:val="003E1A5F"/>
    <w:rPr>
      <w:color w:val="605E5C"/>
      <w:shd w:val="clear" w:color="auto" w:fill="E1DFDD"/>
    </w:rPr>
  </w:style>
  <w:style w:type="character" w:styleId="FollowedHyperlink">
    <w:name w:val="FollowedHyperlink"/>
    <w:basedOn w:val="DefaultParagraphFont"/>
    <w:uiPriority w:val="99"/>
    <w:semiHidden/>
    <w:unhideWhenUsed/>
    <w:rsid w:val="003E1A5F"/>
    <w:rPr>
      <w:color w:val="800080" w:themeColor="followedHyperlink"/>
      <w:u w:val="single"/>
    </w:rPr>
  </w:style>
  <w:style w:type="character" w:customStyle="1" w:styleId="apple-converted-space">
    <w:name w:val="apple-converted-space"/>
    <w:basedOn w:val="DefaultParagraphFont"/>
    <w:rsid w:val="0052606B"/>
  </w:style>
  <w:style w:type="character" w:styleId="Emphasis">
    <w:name w:val="Emphasis"/>
    <w:basedOn w:val="DefaultParagraphFont"/>
    <w:uiPriority w:val="20"/>
    <w:qFormat/>
    <w:rsid w:val="00526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6833">
      <w:bodyDiv w:val="1"/>
      <w:marLeft w:val="0"/>
      <w:marRight w:val="0"/>
      <w:marTop w:val="0"/>
      <w:marBottom w:val="0"/>
      <w:divBdr>
        <w:top w:val="none" w:sz="0" w:space="0" w:color="auto"/>
        <w:left w:val="none" w:sz="0" w:space="0" w:color="auto"/>
        <w:bottom w:val="none" w:sz="0" w:space="0" w:color="auto"/>
        <w:right w:val="none" w:sz="0" w:space="0" w:color="auto"/>
      </w:divBdr>
      <w:divsChild>
        <w:div w:id="332534882">
          <w:marLeft w:val="0"/>
          <w:marRight w:val="0"/>
          <w:marTop w:val="0"/>
          <w:marBottom w:val="0"/>
          <w:divBdr>
            <w:top w:val="none" w:sz="0" w:space="0" w:color="auto"/>
            <w:left w:val="none" w:sz="0" w:space="0" w:color="auto"/>
            <w:bottom w:val="none" w:sz="0" w:space="0" w:color="auto"/>
            <w:right w:val="none" w:sz="0" w:space="0" w:color="auto"/>
          </w:divBdr>
          <w:divsChild>
            <w:div w:id="2056152996">
              <w:marLeft w:val="0"/>
              <w:marRight w:val="0"/>
              <w:marTop w:val="0"/>
              <w:marBottom w:val="0"/>
              <w:divBdr>
                <w:top w:val="none" w:sz="0" w:space="0" w:color="auto"/>
                <w:left w:val="none" w:sz="0" w:space="0" w:color="auto"/>
                <w:bottom w:val="none" w:sz="0" w:space="0" w:color="auto"/>
                <w:right w:val="none" w:sz="0" w:space="0" w:color="auto"/>
              </w:divBdr>
              <w:divsChild>
                <w:div w:id="12453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0761">
      <w:bodyDiv w:val="1"/>
      <w:marLeft w:val="0"/>
      <w:marRight w:val="0"/>
      <w:marTop w:val="0"/>
      <w:marBottom w:val="0"/>
      <w:divBdr>
        <w:top w:val="none" w:sz="0" w:space="0" w:color="auto"/>
        <w:left w:val="none" w:sz="0" w:space="0" w:color="auto"/>
        <w:bottom w:val="none" w:sz="0" w:space="0" w:color="auto"/>
        <w:right w:val="none" w:sz="0" w:space="0" w:color="auto"/>
      </w:divBdr>
      <w:divsChild>
        <w:div w:id="1866626537">
          <w:marLeft w:val="0"/>
          <w:marRight w:val="0"/>
          <w:marTop w:val="0"/>
          <w:marBottom w:val="0"/>
          <w:divBdr>
            <w:top w:val="none" w:sz="0" w:space="0" w:color="auto"/>
            <w:left w:val="none" w:sz="0" w:space="0" w:color="auto"/>
            <w:bottom w:val="none" w:sz="0" w:space="0" w:color="auto"/>
            <w:right w:val="none" w:sz="0" w:space="0" w:color="auto"/>
          </w:divBdr>
          <w:divsChild>
            <w:div w:id="1654216463">
              <w:marLeft w:val="0"/>
              <w:marRight w:val="0"/>
              <w:marTop w:val="0"/>
              <w:marBottom w:val="0"/>
              <w:divBdr>
                <w:top w:val="none" w:sz="0" w:space="0" w:color="auto"/>
                <w:left w:val="none" w:sz="0" w:space="0" w:color="auto"/>
                <w:bottom w:val="none" w:sz="0" w:space="0" w:color="auto"/>
                <w:right w:val="none" w:sz="0" w:space="0" w:color="auto"/>
              </w:divBdr>
              <w:divsChild>
                <w:div w:id="3486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083">
      <w:bodyDiv w:val="1"/>
      <w:marLeft w:val="0"/>
      <w:marRight w:val="0"/>
      <w:marTop w:val="0"/>
      <w:marBottom w:val="0"/>
      <w:divBdr>
        <w:top w:val="none" w:sz="0" w:space="0" w:color="auto"/>
        <w:left w:val="none" w:sz="0" w:space="0" w:color="auto"/>
        <w:bottom w:val="none" w:sz="0" w:space="0" w:color="auto"/>
        <w:right w:val="none" w:sz="0" w:space="0" w:color="auto"/>
      </w:divBdr>
    </w:div>
    <w:div w:id="1763139927">
      <w:bodyDiv w:val="1"/>
      <w:marLeft w:val="0"/>
      <w:marRight w:val="0"/>
      <w:marTop w:val="0"/>
      <w:marBottom w:val="0"/>
      <w:divBdr>
        <w:top w:val="none" w:sz="0" w:space="0" w:color="auto"/>
        <w:left w:val="none" w:sz="0" w:space="0" w:color="auto"/>
        <w:bottom w:val="none" w:sz="0" w:space="0" w:color="auto"/>
        <w:right w:val="none" w:sz="0" w:space="0" w:color="auto"/>
      </w:divBdr>
      <w:divsChild>
        <w:div w:id="722096266">
          <w:marLeft w:val="0"/>
          <w:marRight w:val="0"/>
          <w:marTop w:val="0"/>
          <w:marBottom w:val="0"/>
          <w:divBdr>
            <w:top w:val="none" w:sz="0" w:space="0" w:color="auto"/>
            <w:left w:val="none" w:sz="0" w:space="0" w:color="auto"/>
            <w:bottom w:val="none" w:sz="0" w:space="0" w:color="auto"/>
            <w:right w:val="none" w:sz="0" w:space="0" w:color="auto"/>
          </w:divBdr>
          <w:divsChild>
            <w:div w:id="496120336">
              <w:marLeft w:val="0"/>
              <w:marRight w:val="0"/>
              <w:marTop w:val="0"/>
              <w:marBottom w:val="0"/>
              <w:divBdr>
                <w:top w:val="none" w:sz="0" w:space="0" w:color="auto"/>
                <w:left w:val="none" w:sz="0" w:space="0" w:color="auto"/>
                <w:bottom w:val="none" w:sz="0" w:space="0" w:color="auto"/>
                <w:right w:val="none" w:sz="0" w:space="0" w:color="auto"/>
              </w:divBdr>
              <w:divsChild>
                <w:div w:id="2159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1096">
      <w:bodyDiv w:val="1"/>
      <w:marLeft w:val="0"/>
      <w:marRight w:val="0"/>
      <w:marTop w:val="0"/>
      <w:marBottom w:val="0"/>
      <w:divBdr>
        <w:top w:val="none" w:sz="0" w:space="0" w:color="auto"/>
        <w:left w:val="none" w:sz="0" w:space="0" w:color="auto"/>
        <w:bottom w:val="none" w:sz="0" w:space="0" w:color="auto"/>
        <w:right w:val="none" w:sz="0" w:space="0" w:color="auto"/>
      </w:divBdr>
      <w:divsChild>
        <w:div w:id="1210267348">
          <w:marLeft w:val="0"/>
          <w:marRight w:val="0"/>
          <w:marTop w:val="0"/>
          <w:marBottom w:val="0"/>
          <w:divBdr>
            <w:top w:val="none" w:sz="0" w:space="0" w:color="auto"/>
            <w:left w:val="none" w:sz="0" w:space="0" w:color="auto"/>
            <w:bottom w:val="none" w:sz="0" w:space="0" w:color="auto"/>
            <w:right w:val="none" w:sz="0" w:space="0" w:color="auto"/>
          </w:divBdr>
          <w:divsChild>
            <w:div w:id="894660027">
              <w:marLeft w:val="0"/>
              <w:marRight w:val="0"/>
              <w:marTop w:val="0"/>
              <w:marBottom w:val="0"/>
              <w:divBdr>
                <w:top w:val="none" w:sz="0" w:space="0" w:color="auto"/>
                <w:left w:val="none" w:sz="0" w:space="0" w:color="auto"/>
                <w:bottom w:val="none" w:sz="0" w:space="0" w:color="auto"/>
                <w:right w:val="none" w:sz="0" w:space="0" w:color="auto"/>
              </w:divBdr>
              <w:divsChild>
                <w:div w:id="1925795787">
                  <w:marLeft w:val="0"/>
                  <w:marRight w:val="0"/>
                  <w:marTop w:val="0"/>
                  <w:marBottom w:val="0"/>
                  <w:divBdr>
                    <w:top w:val="none" w:sz="0" w:space="0" w:color="auto"/>
                    <w:left w:val="none" w:sz="0" w:space="0" w:color="auto"/>
                    <w:bottom w:val="none" w:sz="0" w:space="0" w:color="auto"/>
                    <w:right w:val="none" w:sz="0" w:space="0" w:color="auto"/>
                  </w:divBdr>
                  <w:divsChild>
                    <w:div w:id="12527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1217</Words>
  <Characters>6943</Characters>
  <Application>Microsoft Office Word</Application>
  <DocSecurity>0</DocSecurity>
  <Lines>57</Lines>
  <Paragraphs>16</Paragraphs>
  <ScaleCrop>false</ScaleCrop>
  <Company>DAFIST</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Vignolo</dc:creator>
  <cp:keywords/>
  <dc:description/>
  <cp:lastModifiedBy>Microsoft Office User</cp:lastModifiedBy>
  <cp:revision>14</cp:revision>
  <dcterms:created xsi:type="dcterms:W3CDTF">2022-01-10T15:30:00Z</dcterms:created>
  <dcterms:modified xsi:type="dcterms:W3CDTF">2025-05-26T11:28:00Z</dcterms:modified>
</cp:coreProperties>
</file>